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60"/>
      </w:pPr>
      <w:r>
        <w:rPr>
          <w:b/>
          <w:sz w:val="34"/>
          <w:color w:val="0069FF"/>
        </w:rPr>
        <w:t xml:space="preserve">Infrastructure Quote</w:t>
      </w:r>
    </w:p>
    <w:p>
      <w:pPr>
        <w:spacing w:after="160"/>
      </w:pPr>
      <w:r>
        <w:rPr>
          <w:color w:val="666666"/>
          <w:sz w:val="22"/>
        </w:rPr>
        <w:t xml:space="preserve">Server infrastructure cost quotation · 18 Oct 2026</w:t>
      </w:r>
    </w:p>
    <w:p>
      <w:pPr>
        <w:spacing w:before="220" w:after="80"/>
      </w:pPr>
      <w:r>
        <w:rPr>
          <w:b/>
          <w:sz w:val="26"/>
        </w:rPr>
        <w:t xml:space="preserve">Single Droplet / VPS</w:t>
      </w:r>
    </w:p>
    <w:p>
      <w:pPr>
        <w:spacing w:after="80"/>
      </w:pPr>
      <w:r>
        <w:rPr>
          <w:color w:val="666666"/>
          <w:sz w:val="20"/>
        </w:rPr>
        <w:t xml:space="preserve">One server — simplest &amp; cheapest</w:t>
      </w:r>
    </w:p>
    <w:p>
      <w:pPr>
        <w:spacing w:after="80"/>
      </w:pPr>
      <w:r>
        <w:t xml:space="preserve">A single DigitalOcean droplet running the full stack. Ideal for early-stage with a standby managed database and Media Space (DB and Media separately host). Horizontal scaling (CPU &amp; RAM only, not storage). During a certain time if the resource spike. DC will charge additionally for that certain time. e.g: The actual metering is per‑second up to a maximum of 2 419 200 seconds (28 days). So, if the Droplet is normally $84 / month and “spike” the CPU/​RAM (by expanding to a larger size or adding containers) only for 2 hours, twice a month. Additionally, $0.50 will charge.</w:t>
      </w:r>
    </w:p>
    <w:p>
      <w:pPr>
        <w:spacing w:after="80"/>
      </w:pPr>
      <w:r>
        <w:t xml:space="preserve">Monthly recurring: $120.75/mo   |   Pay yearly: $1,449.00/yr   |   First-year total: $1,449.00</w:t>
      </w:r>
    </w:p>
    <w:tbl>
      <w:tblPr>
        <w:tblW w:w="9360" w:type="dxa"/>
        <w:tblBorders>
          <w:top w:val="single" w:sz="4" w:color="DDDDDD"/>
          <w:left w:val="single" w:sz="4" w:color="DDDDDD"/>
          <w:bottom w:val="single" w:sz="4" w:color="DDDDDD"/>
          <w:right w:val="single" w:sz="4" w:color="DDDDDD"/>
          <w:insideH w:val="single" w:sz="4" w:color="EEEEEE"/>
          <w:insideV w:val="single" w:sz="4" w:color="EEEEEE"/>
        </w:tblBorders>
      </w:tblPr>
      <w:tblGrid>
        <w:gridCol w:w="3400"/>
        <w:gridCol w:w="1500"/>
        <w:gridCol w:w="700"/>
        <w:gridCol w:w="1300"/>
        <w:gridCol w:w="1000"/>
        <w:gridCol w:w="1460"/>
      </w:tblGrid>
      <w:tr>
        <w:tc>
          <w:tcPr>
            <w:tcW w:w="3400" w:type="dxa"/>
            <w:shd w:val="clear" w:color="auto" w:fill="1B2A4A"/>
            <w:vAlign w:val="center"/>
          </w:tcPr>
          <w:p>
            <w:pPr>
              <w:spacing w:before="20" w:after="20"/>
              <w:jc w:val="left"/>
            </w:pPr>
            <w:r>
              <w:rPr>
                <w:b/>
                <w:color w:val="FFFFFF"/>
              </w:rPr>
              <w:t xml:space="preserve">Service</w:t>
            </w:r>
          </w:p>
        </w:tc>
        <w:tc>
          <w:tcPr>
            <w:tcW w:w="1500" w:type="dxa"/>
            <w:shd w:val="clear" w:color="auto" w:fill="1B2A4A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FFFFFF"/>
              </w:rPr>
              <w:t xml:space="preserve">Provider</w:t>
            </w:r>
          </w:p>
        </w:tc>
        <w:tc>
          <w:tcPr>
            <w:tcW w:w="700" w:type="dxa"/>
            <w:shd w:val="clear" w:color="auto" w:fill="1B2A4A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300" w:type="dxa"/>
            <w:shd w:val="clear" w:color="auto" w:fill="1B2A4A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000" w:type="dxa"/>
            <w:shd w:val="clear" w:color="auto" w:fill="1B2A4A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FFFFFF"/>
              </w:rPr>
              <w:t xml:space="preserve">Billing</w:t>
            </w:r>
          </w:p>
        </w:tc>
        <w:tc>
          <w:tcPr>
            <w:tcW w:w="1460" w:type="dxa"/>
            <w:shd w:val="clear" w:color="auto" w:fill="1B2A4A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FFFFFF"/>
              </w:rPr>
              <w:t xml:space="preserve">Line total</w:t>
            </w:r>
          </w:p>
        </w:tc>
      </w:tr>
      <w:tr>
        <w:tc>
          <w:tcPr>
            <w:tcW w:w="3400" w:type="dxa"/>
            <w:shd w:val="clear" w:color="auto" w:fill="EAF1FF"/>
            <w:vAlign w:val="center"/>
          </w:tcPr>
          <w:p>
            <w:pPr>
              <w:spacing w:before="20" w:after="20"/>
              <w:jc w:val="left"/>
            </w:pPr>
            <w:r>
              <w:rPr>
                <w:b/>
              </w:rPr>
              <w:t xml:space="preserve">Compute</w:t>
            </w:r>
          </w:p>
        </w:tc>
        <w:tc>
          <w:tcPr>
            <w:tcW w:w="15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7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3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0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46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$84.00 /mo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t xml:space="preserve">CPU-Optimized Droplet — 4 vCPU / 8 GB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DigitalOcean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1</w:t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color w:val="0A7B46"/>
              </w:rPr>
              <w:t xml:space="preserve">$84.00</w:t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/mo</w:t>
            </w:r>
          </w:p>
        </w:tc>
        <w:tc>
          <w:tcPr>
            <w:tcW w:w="1460" w:type="dxa"/>
            <w:shd w:val="clear" w:color="auto" w:fill="E6F6EE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0A7B46"/>
              </w:rPr>
              <w:t xml:space="preserve">$84.00</w:t>
            </w:r>
          </w:p>
        </w:tc>
      </w:tr>
      <w:tr>
        <w:tc>
          <w:tcPr>
            <w:tcW w:w="3400" w:type="dxa"/>
            <w:shd w:val="clear" w:color="auto" w:fill="EAF1FF"/>
            <w:vAlign w:val="center"/>
          </w:tcPr>
          <w:p>
            <w:pPr>
              <w:spacing w:before="20" w:after="20"/>
              <w:jc w:val="left"/>
            </w:pPr>
            <w:r>
              <w:rPr>
                <w:b/>
              </w:rPr>
              <w:t xml:space="preserve">Database</w:t>
            </w:r>
          </w:p>
        </w:tc>
        <w:tc>
          <w:tcPr>
            <w:tcW w:w="15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7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3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0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46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$15.15 /mo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t xml:space="preserve">Managed Database (MySQL) — Single node Cluster 10GiB Storage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DigitalOcean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1</w:t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color w:val="0A7B46"/>
              </w:rPr>
              <w:t xml:space="preserve">$15.15</w:t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/mo</w:t>
            </w:r>
          </w:p>
        </w:tc>
        <w:tc>
          <w:tcPr>
            <w:tcW w:w="1460" w:type="dxa"/>
            <w:shd w:val="clear" w:color="auto" w:fill="E6F6EE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0A7B46"/>
              </w:rPr>
              <w:t xml:space="preserve">$15.15</w:t>
            </w:r>
          </w:p>
        </w:tc>
      </w:tr>
      <w:tr>
        <w:tc>
          <w:tcPr>
            <w:tcW w:w="3400" w:type="dxa"/>
            <w:shd w:val="clear" w:color="auto" w:fill="EAF1FF"/>
            <w:vAlign w:val="center"/>
          </w:tcPr>
          <w:p>
            <w:pPr>
              <w:spacing w:before="20" w:after="20"/>
              <w:jc w:val="left"/>
            </w:pPr>
            <w:r>
              <w:rPr>
                <w:b/>
              </w:rPr>
              <w:t xml:space="preserve">Storage &amp; Backups</w:t>
            </w:r>
          </w:p>
        </w:tc>
        <w:tc>
          <w:tcPr>
            <w:tcW w:w="15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7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3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0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46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$21.60 /mo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t xml:space="preserve">Media Storage (Spaces) + CDN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DigitalOcean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1</w:t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color w:val="0A7B46"/>
              </w:rPr>
              <w:t xml:space="preserve">$5.00</w:t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/mo</w:t>
            </w:r>
          </w:p>
        </w:tc>
        <w:tc>
          <w:tcPr>
            <w:tcW w:w="1460" w:type="dxa"/>
            <w:shd w:val="clear" w:color="auto" w:fill="E6F6EE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0A7B46"/>
              </w:rPr>
              <w:t xml:space="preserve">$5.00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t xml:space="preserve">Automated Backups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DigitalOcean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1</w:t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color w:val="0A7B46"/>
              </w:rPr>
              <w:t xml:space="preserve">$16.00</w:t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/mo</w:t>
            </w:r>
          </w:p>
        </w:tc>
        <w:tc>
          <w:tcPr>
            <w:tcW w:w="1460" w:type="dxa"/>
            <w:shd w:val="clear" w:color="auto" w:fill="E6F6EE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0A7B46"/>
              </w:rPr>
              <w:t xml:space="preserve">$16.00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t xml:space="preserve">Snapshot Backup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DigitalOcean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1</w:t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color w:val="0A7B46"/>
              </w:rPr>
              <w:t xml:space="preserve">$0.60</w:t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/mo</w:t>
            </w:r>
          </w:p>
        </w:tc>
        <w:tc>
          <w:tcPr>
            <w:tcW w:w="1460" w:type="dxa"/>
            <w:shd w:val="clear" w:color="auto" w:fill="E6F6EE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0A7B46"/>
              </w:rPr>
              <w:t xml:space="preserve">$0.60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t xml:space="preserve">Database Backup for security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SPINP Green Channel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1</w:t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color w:val="0A7B46"/>
              </w:rPr>
              <w:t xml:space="preserve">$0.00</w:t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/mo</w:t>
            </w:r>
          </w:p>
        </w:tc>
        <w:tc>
          <w:tcPr>
            <w:tcW w:w="1460" w:type="dxa"/>
            <w:shd w:val="clear" w:color="auto" w:fill="E6F6EE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0A7B46"/>
              </w:rPr>
              <w:t xml:space="preserve">$0.00</w:t>
            </w:r>
          </w:p>
        </w:tc>
      </w:tr>
      <w:tr>
        <w:tc>
          <w:tcPr>
            <w:tcW w:w="3400" w:type="dxa"/>
            <w:shd w:val="clear" w:color="auto" w:fill="EAF1FF"/>
            <w:vAlign w:val="center"/>
          </w:tcPr>
          <w:p>
            <w:pPr>
              <w:spacing w:before="20" w:after="20"/>
              <w:jc w:val="left"/>
            </w:pPr>
            <w:r>
              <w:rPr>
                <w:b/>
              </w:rPr>
              <w:t xml:space="preserve">Monitoring</w:t>
            </w:r>
          </w:p>
        </w:tc>
        <w:tc>
          <w:tcPr>
            <w:tcW w:w="15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7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3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0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46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$0.00 /mo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t xml:space="preserve">Improved Metrics and monitoring Tools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DigitalOcean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1</w:t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color w:val="0A7B46"/>
              </w:rPr>
              <w:t xml:space="preserve">$0.00</w:t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/mo</w:t>
            </w:r>
          </w:p>
        </w:tc>
        <w:tc>
          <w:tcPr>
            <w:tcW w:w="1460" w:type="dxa"/>
            <w:shd w:val="clear" w:color="auto" w:fill="E6F6EE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0A7B46"/>
              </w:rPr>
              <w:t xml:space="preserve">$0.00</w:t>
            </w:r>
          </w:p>
        </w:tc>
      </w:tr>
      <w:tr>
        <w:tc>
          <w:tcPr>
            <w:tcW w:w="3400" w:type="dxa"/>
            <w:shd w:val="clear" w:color="auto" w:fill="EAF1FF"/>
            <w:vAlign w:val="center"/>
          </w:tcPr>
          <w:p>
            <w:pPr>
              <w:spacing w:before="20" w:after="20"/>
              <w:jc w:val="left"/>
            </w:pPr>
            <w:r>
              <w:rPr>
                <w:b/>
              </w:rPr>
              <w:t xml:space="preserve">Security &amp; CDN</w:t>
            </w:r>
          </w:p>
        </w:tc>
        <w:tc>
          <w:tcPr>
            <w:tcW w:w="15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7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3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0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46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$0.00 /mo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t xml:space="preserve">Cloudflare DNS &amp; WAF — Free plan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Cloudflare</w:t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1</w:t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color w:val="0A7B46"/>
              </w:rPr>
              <w:t xml:space="preserve">$0.00</w:t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>/mo</w:t>
            </w:r>
          </w:p>
        </w:tc>
        <w:tc>
          <w:tcPr>
            <w:tcW w:w="1460" w:type="dxa"/>
            <w:shd w:val="clear" w:color="auto" w:fill="E6F6EE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  <w:color w:val="0A7B46"/>
              </w:rPr>
              <w:t xml:space="preserve">$0.00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rPr>
                <w:b/>
              </w:rPr>
              <w:t xml:space="preserve">Monthly recurring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46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$120.75 /mo</w:t>
            </w:r>
          </w:p>
        </w:tc>
      </w:tr>
      <w:tr>
        <w:tc>
          <w:tcPr>
            <w:tcW w:w="3400" w:type="dxa"/>
            <w:vAlign w:val="center"/>
          </w:tcPr>
          <w:p>
            <w:pPr>
              <w:spacing w:before="20" w:after="20"/>
              <w:jc w:val="left"/>
            </w:pPr>
            <w:r>
              <w:rPr>
                <w:b/>
              </w:rPr>
              <w:t xml:space="preserve">Pay yearly</w:t>
            </w:r>
          </w:p>
        </w:tc>
        <w:tc>
          <w:tcPr>
            <w:tcW w:w="15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7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3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000" w:type="dxa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460" w:type="dxa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$1,449.00 /yr</w:t>
            </w:r>
          </w:p>
        </w:tc>
      </w:tr>
      <w:tr>
        <w:tc>
          <w:tcPr>
            <w:tcW w:w="3400" w:type="dxa"/>
            <w:shd w:val="clear" w:color="auto" w:fill="EAF1FF"/>
            <w:vAlign w:val="center"/>
          </w:tcPr>
          <w:p>
            <w:pPr>
              <w:spacing w:before="20" w:after="20"/>
              <w:jc w:val="left"/>
            </w:pPr>
            <w:r>
              <w:rPr>
                <w:b/>
              </w:rPr>
              <w:t xml:space="preserve">First-year total</w:t>
            </w:r>
          </w:p>
        </w:tc>
        <w:tc>
          <w:tcPr>
            <w:tcW w:w="15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7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3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00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t xml:space="preserve"/>
            </w:r>
          </w:p>
        </w:tc>
        <w:tc>
          <w:tcPr>
            <w:tcW w:w="1460" w:type="dxa"/>
            <w:shd w:val="clear" w:color="auto" w:fill="EAF1FF"/>
            <w:vAlign w:val="center"/>
          </w:tcPr>
          <w:p>
            <w:pPr>
              <w:spacing w:before="20" w:after="20"/>
              <w:jc w:val="right"/>
            </w:pPr>
            <w:r>
              <w:rPr>
                <w:b/>
              </w:rPr>
              <w:t xml:space="preserve">$1,449.00</w:t>
            </w:r>
          </w:p>
        </w:tc>
      </w:tr>
    </w:tbl>
    <w:p>
      <w:pPr>
        <w:spacing w:after="40"/>
      </w:pPr>
    </w:p>
    <w:p>
      <w:pPr>
        <w:spacing w:before="220" w:after="80"/>
      </w:pPr>
      <w:r>
        <w:rPr>
          <w:b/>
          <w:sz w:val="26"/>
        </w:rPr>
        <w:t xml:space="preserve">Notes · Pros &amp; Cons</w:t>
      </w:r>
    </w:p>
    <w:p>
      <w:pPr>
        <w:spacing w:after="80"/>
      </w:pPr>
      <w:r>
        <w:t xml:space="preserve">Pros</w:t>
      </w:r>
    </w:p>
    <w:p>
      <w:pPr>
        <w:spacing w:after="80"/>
      </w:pPr>
      <w:r>
        <w:t xml:space="preserve">• Lowest monthly cost.</w:t>
      </w:r>
    </w:p>
    <w:p>
      <w:pPr>
        <w:spacing w:after="80"/>
      </w:pPr>
      <w:r>
        <w:t xml:space="preserve">• Simple to manage and deploy.</w:t>
      </w:r>
    </w:p>
    <w:p>
      <w:pPr>
        <w:spacing w:after="80"/>
      </w:pPr>
      <w:r>
        <w:t xml:space="preserve">• Cloudflare in front for free auto SSL, DigitalOcean CDN &amp; security.</w:t>
      </w:r>
    </w:p>
    <w:p>
      <w:pPr>
        <w:spacing w:after="80"/>
      </w:pPr>
      <w:r>
        <w:t xml:space="preserve">Cons</w:t>
      </w:r>
    </w:p>
    <w:p>
      <w:pPr>
        <w:spacing w:after="80"/>
      </w:pPr>
      <w:r>
        <w:t xml:space="preserve">• Single point of failure — if the droplet goes down, the site is down.</w:t>
      </w:r>
    </w:p>
    <w:p>
      <w:pPr>
        <w:spacing w:after="80"/>
      </w:pPr>
      <w:r>
        <w:t xml:space="preserve">• Service will be down till next server prepare and bring to online</w:t>
      </w:r>
    </w:p>
    <w:sectPr>
      <w:footerReference w:type="default" r:id="rIdFooter"/>
      <w:pgSz w:w="12240" w:h="15840"/>
      <w:pgMar w:top="1080" w:right="1440" w:bottom="1080" w:left="1440" w:header="720" w:footer="48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888888"/>
        <w:sz w:val="18"/>
      </w:rPr>
      <w:t xml:space="preserve">Design and developed by Fazla Rabby Azim  ·   </w:t>
    </w:r>
    <w:hyperlink r:id="rIdFtLink">
      <w:r>
        <w:rPr>
          <w:color w:val="0069FF"/>
          <w:u w:val="single"/>
          <w:sz w:val="18"/>
        </w:rPr>
        <w:t xml:space="preserve">azimstech.com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Footer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FtLink" Type="http://schemas.openxmlformats.org/officeDocument/2006/relationships/hyperlink" Target="https://azimstech.com" TargetMode="External"/></Relationships>
</file>