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60"/>
      </w:pPr>
      <w:r>
        <w:rPr>
          <w:b/>
          <w:sz w:val="34"/>
          <w:color w:val="0069FF"/>
        </w:rPr>
        <w:t xml:space="preserve">Infrastructure Quote</w:t>
      </w:r>
    </w:p>
    <w:p>
      <w:pPr>
        <w:spacing w:after="160"/>
      </w:pPr>
      <w:r>
        <w:rPr>
          <w:color w:val="666666"/>
          <w:sz w:val="22"/>
        </w:rPr>
        <w:t xml:space="preserve">Server infrastructure cost quotation · 18 Aug 2026</w:t>
      </w:r>
    </w:p>
    <w:p>
      <w:pPr>
        <w:spacing w:before="220" w:after="80"/>
      </w:pPr>
      <w:r>
        <w:rPr>
          <w:b/>
          <w:sz w:val="26"/>
        </w:rPr>
        <w:t xml:space="preserve">Single Droplet / VPS</w:t>
      </w:r>
    </w:p>
    <w:p>
      <w:pPr>
        <w:spacing w:after="80"/>
      </w:pPr>
      <w:r>
        <w:rPr>
          <w:color w:val="666666"/>
          <w:sz w:val="20"/>
        </w:rPr>
        <w:t xml:space="preserve">One server — simplest &amp; cheapest</w:t>
      </w:r>
    </w:p>
    <w:p>
      <w:pPr>
        <w:spacing w:after="80"/>
      </w:pPr>
      <w:r>
        <w:t xml:space="preserve">Monthly recurring: $88.80/mo   |   Pay yearly: $1,065.60/yr   |   First-year total: $1,065.60</w:t>
      </w:r>
    </w:p>
    <w:tbl>
      <w:tblPr>
        <w:tblW w:w="936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EEEEEE"/>
          <w:insideV w:val="single" w:sz="4" w:color="EEEEEE"/>
        </w:tblBorders>
      </w:tblPr>
      <w:tblGrid>
        <w:gridCol w:w="3400"/>
        <w:gridCol w:w="1500"/>
        <w:gridCol w:w="700"/>
        <w:gridCol w:w="1300"/>
        <w:gridCol w:w="1000"/>
        <w:gridCol w:w="1460"/>
      </w:tblGrid>
      <w:tr>
        <w:tc>
          <w:tcPr>
            <w:tcW w:w="3400" w:type="dxa"/>
            <w:shd w:val="clear" w:color="auto" w:fill="1B2A4A"/>
            <w:vAlign w:val="center"/>
          </w:tcPr>
          <w:p>
            <w:pPr>
              <w:spacing w:before="20" w:after="20"/>
              <w:jc w:val="left"/>
            </w:pPr>
            <w:r>
              <w:rPr>
                <w:b/>
                <w:color w:val="FFFFFF"/>
              </w:rPr>
              <w:t xml:space="preserve">Service</w:t>
            </w:r>
          </w:p>
        </w:tc>
        <w:tc>
          <w:tcPr>
            <w:tcW w:w="1500" w:type="dxa"/>
            <w:shd w:val="clear" w:color="auto" w:fill="1B2A4A"/>
            <w:vAlign w:val="center"/>
          </w:tcPr>
          <w:p>
            <w:pPr>
              <w:spacing w:before="20" w:after="20"/>
              <w:jc w:val="right"/>
            </w:pPr>
            <w:r>
              <w:rPr>
                <w:b/>
                <w:color w:val="FFFFFF"/>
              </w:rPr>
              <w:t xml:space="preserve">Provider</w:t>
            </w:r>
          </w:p>
        </w:tc>
        <w:tc>
          <w:tcPr>
            <w:tcW w:w="700" w:type="dxa"/>
            <w:shd w:val="clear" w:color="auto" w:fill="1B2A4A"/>
            <w:vAlign w:val="center"/>
          </w:tcPr>
          <w:p>
            <w:pPr>
              <w:spacing w:before="20" w:after="20"/>
              <w:jc w:val="right"/>
            </w:pPr>
            <w:r>
              <w:rPr>
                <w:b/>
                <w:color w:val="FFFFFF"/>
              </w:rPr>
              <w:t xml:space="preserve">Qty</w:t>
            </w:r>
          </w:p>
        </w:tc>
        <w:tc>
          <w:tcPr>
            <w:tcW w:w="1300" w:type="dxa"/>
            <w:shd w:val="clear" w:color="auto" w:fill="1B2A4A"/>
            <w:vAlign w:val="center"/>
          </w:tcPr>
          <w:p>
            <w:pPr>
              <w:spacing w:before="20" w:after="20"/>
              <w:jc w:val="right"/>
            </w:pPr>
            <w:r>
              <w:rPr>
                <w:b/>
                <w:color w:val="FFFFFF"/>
              </w:rPr>
              <w:t xml:space="preserve">Unit price</w:t>
            </w:r>
          </w:p>
        </w:tc>
        <w:tc>
          <w:tcPr>
            <w:tcW w:w="1000" w:type="dxa"/>
            <w:shd w:val="clear" w:color="auto" w:fill="1B2A4A"/>
            <w:vAlign w:val="center"/>
          </w:tcPr>
          <w:p>
            <w:pPr>
              <w:spacing w:before="20" w:after="20"/>
              <w:jc w:val="right"/>
            </w:pPr>
            <w:r>
              <w:rPr>
                <w:b/>
                <w:color w:val="FFFFFF"/>
              </w:rPr>
              <w:t xml:space="preserve">Billing</w:t>
            </w:r>
          </w:p>
        </w:tc>
        <w:tc>
          <w:tcPr>
            <w:tcW w:w="1460" w:type="dxa"/>
            <w:shd w:val="clear" w:color="auto" w:fill="1B2A4A"/>
            <w:vAlign w:val="center"/>
          </w:tcPr>
          <w:p>
            <w:pPr>
              <w:spacing w:before="20" w:after="20"/>
              <w:jc w:val="right"/>
            </w:pPr>
            <w:r>
              <w:rPr>
                <w:b/>
                <w:color w:val="FFFFFF"/>
              </w:rPr>
              <w:t xml:space="preserve">Line total</w:t>
            </w:r>
          </w:p>
        </w:tc>
      </w:tr>
      <w:tr>
        <w:tc>
          <w:tcPr>
            <w:tcW w:w="3400" w:type="dxa"/>
            <w:shd w:val="clear" w:color="auto" w:fill="EAF1FF"/>
            <w:vAlign w:val="center"/>
          </w:tcPr>
          <w:p>
            <w:pPr>
              <w:spacing w:before="20" w:after="20"/>
              <w:jc w:val="left"/>
            </w:pPr>
            <w:r>
              <w:rPr>
                <w:b/>
              </w:rPr>
              <w:t xml:space="preserve">Compute</w:t>
            </w:r>
          </w:p>
        </w:tc>
        <w:tc>
          <w:tcPr>
            <w:tcW w:w="150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70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130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100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146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rPr>
                <w:b/>
              </w:rPr>
              <w:t xml:space="preserve">$84.00 /mo</w:t>
            </w:r>
          </w:p>
        </w:tc>
      </w:tr>
      <w:tr>
        <w:tc>
          <w:tcPr>
            <w:tcW w:w="3400" w:type="dxa"/>
            <w:vAlign w:val="center"/>
          </w:tcPr>
          <w:p>
            <w:pPr>
              <w:spacing w:before="20" w:after="20"/>
              <w:jc w:val="left"/>
            </w:pPr>
            <w:r>
              <w:t xml:space="preserve">CPU-Optimized Droplet — 4 vCPU / 8 GB</w:t>
            </w:r>
          </w:p>
        </w:tc>
        <w:tc>
          <w:tcPr>
            <w:tcW w:w="1500" w:type="dxa"/>
            <w:vAlign w:val="center"/>
          </w:tcPr>
          <w:p>
            <w:pPr>
              <w:spacing w:before="20" w:after="20"/>
              <w:jc w:val="right"/>
            </w:pPr>
            <w:r>
              <w:t xml:space="preserve">DigitalOcean</w:t>
            </w:r>
          </w:p>
        </w:tc>
        <w:tc>
          <w:tcPr>
            <w:tcW w:w="700" w:type="dxa"/>
            <w:vAlign w:val="center"/>
          </w:tcPr>
          <w:p>
            <w:pPr>
              <w:spacing w:before="20" w:after="20"/>
              <w:jc w:val="right"/>
            </w:pPr>
            <w:r>
              <w:t xml:space="preserve">1</w:t>
            </w:r>
          </w:p>
        </w:tc>
        <w:tc>
          <w:tcPr>
            <w:tcW w:w="1300" w:type="dxa"/>
            <w:vAlign w:val="center"/>
          </w:tcPr>
          <w:p>
            <w:pPr>
              <w:spacing w:before="20" w:after="20"/>
              <w:jc w:val="right"/>
            </w:pPr>
            <w:r>
              <w:rPr>
                <w:color w:val="0A7B46"/>
              </w:rPr>
              <w:t xml:space="preserve">$84.00</w:t>
            </w:r>
          </w:p>
        </w:tc>
        <w:tc>
          <w:tcPr>
            <w:tcW w:w="1000" w:type="dxa"/>
            <w:vAlign w:val="center"/>
          </w:tcPr>
          <w:p>
            <w:pPr>
              <w:spacing w:before="20" w:after="20"/>
              <w:jc w:val="right"/>
            </w:pPr>
            <w:r>
              <w:t xml:space="preserve">/mo</w:t>
            </w:r>
          </w:p>
        </w:tc>
        <w:tc>
          <w:tcPr>
            <w:tcW w:w="1460" w:type="dxa"/>
            <w:shd w:val="clear" w:color="auto" w:fill="E6F6EE"/>
            <w:vAlign w:val="center"/>
          </w:tcPr>
          <w:p>
            <w:pPr>
              <w:spacing w:before="20" w:after="20"/>
              <w:jc w:val="right"/>
            </w:pPr>
            <w:r>
              <w:rPr>
                <w:b/>
                <w:color w:val="0A7B46"/>
              </w:rPr>
              <w:t xml:space="preserve">$84.00</w:t>
            </w:r>
          </w:p>
        </w:tc>
      </w:tr>
      <w:tr>
        <w:tc>
          <w:tcPr>
            <w:tcW w:w="3400" w:type="dxa"/>
            <w:shd w:val="clear" w:color="auto" w:fill="EAF1FF"/>
            <w:vAlign w:val="center"/>
          </w:tcPr>
          <w:p>
            <w:pPr>
              <w:spacing w:before="20" w:after="20"/>
              <w:jc w:val="left"/>
            </w:pPr>
            <w:r>
              <w:rPr>
                <w:b/>
              </w:rPr>
              <w:t xml:space="preserve">Storage &amp; Backups</w:t>
            </w:r>
          </w:p>
        </w:tc>
        <w:tc>
          <w:tcPr>
            <w:tcW w:w="150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70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130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100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146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rPr>
                <w:b/>
              </w:rPr>
              <w:t xml:space="preserve">$4.80 /mo</w:t>
            </w:r>
          </w:p>
        </w:tc>
      </w:tr>
      <w:tr>
        <w:tc>
          <w:tcPr>
            <w:tcW w:w="3400" w:type="dxa"/>
            <w:vAlign w:val="center"/>
          </w:tcPr>
          <w:p>
            <w:pPr>
              <w:spacing w:before="20" w:after="20"/>
              <w:jc w:val="left"/>
            </w:pPr>
            <w:r>
              <w:t xml:space="preserve">Automated Backups</w:t>
            </w:r>
          </w:p>
        </w:tc>
        <w:tc>
          <w:tcPr>
            <w:tcW w:w="1500" w:type="dxa"/>
            <w:vAlign w:val="center"/>
          </w:tcPr>
          <w:p>
            <w:pPr>
              <w:spacing w:before="20" w:after="20"/>
              <w:jc w:val="right"/>
            </w:pPr>
            <w:r>
              <w:t xml:space="preserve">DigitalOcean</w:t>
            </w:r>
          </w:p>
        </w:tc>
        <w:tc>
          <w:tcPr>
            <w:tcW w:w="700" w:type="dxa"/>
            <w:vAlign w:val="center"/>
          </w:tcPr>
          <w:p>
            <w:pPr>
              <w:spacing w:before="20" w:after="20"/>
              <w:jc w:val="right"/>
            </w:pPr>
            <w:r>
              <w:t xml:space="preserve">1</w:t>
            </w:r>
          </w:p>
        </w:tc>
        <w:tc>
          <w:tcPr>
            <w:tcW w:w="1300" w:type="dxa"/>
            <w:vAlign w:val="center"/>
          </w:tcPr>
          <w:p>
            <w:pPr>
              <w:spacing w:before="20" w:after="20"/>
              <w:jc w:val="right"/>
            </w:pPr>
            <w:r>
              <w:rPr>
                <w:color w:val="0A7B46"/>
              </w:rPr>
              <w:t xml:space="preserve">$4.80</w:t>
            </w:r>
          </w:p>
        </w:tc>
        <w:tc>
          <w:tcPr>
            <w:tcW w:w="1000" w:type="dxa"/>
            <w:vAlign w:val="center"/>
          </w:tcPr>
          <w:p>
            <w:pPr>
              <w:spacing w:before="20" w:after="20"/>
              <w:jc w:val="right"/>
            </w:pPr>
            <w:r>
              <w:t xml:space="preserve">/mo</w:t>
            </w:r>
          </w:p>
        </w:tc>
        <w:tc>
          <w:tcPr>
            <w:tcW w:w="1460" w:type="dxa"/>
            <w:shd w:val="clear" w:color="auto" w:fill="E6F6EE"/>
            <w:vAlign w:val="center"/>
          </w:tcPr>
          <w:p>
            <w:pPr>
              <w:spacing w:before="20" w:after="20"/>
              <w:jc w:val="right"/>
            </w:pPr>
            <w:r>
              <w:rPr>
                <w:b/>
                <w:color w:val="0A7B46"/>
              </w:rPr>
              <w:t xml:space="preserve">$4.80</w:t>
            </w:r>
          </w:p>
        </w:tc>
      </w:tr>
      <w:tr>
        <w:tc>
          <w:tcPr>
            <w:tcW w:w="3400" w:type="dxa"/>
            <w:shd w:val="clear" w:color="auto" w:fill="EAF1FF"/>
            <w:vAlign w:val="center"/>
          </w:tcPr>
          <w:p>
            <w:pPr>
              <w:spacing w:before="20" w:after="20"/>
              <w:jc w:val="left"/>
            </w:pPr>
            <w:r>
              <w:rPr>
                <w:b/>
              </w:rPr>
              <w:t xml:space="preserve">Networking</w:t>
            </w:r>
          </w:p>
        </w:tc>
        <w:tc>
          <w:tcPr>
            <w:tcW w:w="150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70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130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100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146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rPr>
                <w:b/>
              </w:rPr>
              <w:t xml:space="preserve">$0.00 /mo</w:t>
            </w:r>
          </w:p>
        </w:tc>
      </w:tr>
      <w:tr>
        <w:tc>
          <w:tcPr>
            <w:tcW w:w="3400" w:type="dxa"/>
            <w:vAlign w:val="center"/>
          </w:tcPr>
          <w:p>
            <w:pPr>
              <w:spacing w:before="20" w:after="20"/>
              <w:jc w:val="left"/>
            </w:pPr>
            <w:r>
              <w:t xml:space="preserve">Reserved IP</w:t>
            </w:r>
          </w:p>
        </w:tc>
        <w:tc>
          <w:tcPr>
            <w:tcW w:w="1500" w:type="dxa"/>
            <w:vAlign w:val="center"/>
          </w:tcPr>
          <w:p>
            <w:pPr>
              <w:spacing w:before="20" w:after="20"/>
              <w:jc w:val="right"/>
            </w:pPr>
            <w:r>
              <w:t xml:space="preserve">DigitalOcean</w:t>
            </w:r>
          </w:p>
        </w:tc>
        <w:tc>
          <w:tcPr>
            <w:tcW w:w="700" w:type="dxa"/>
            <w:vAlign w:val="center"/>
          </w:tcPr>
          <w:p>
            <w:pPr>
              <w:spacing w:before="20" w:after="20"/>
              <w:jc w:val="right"/>
            </w:pPr>
            <w:r>
              <w:t xml:space="preserve">1</w:t>
            </w:r>
          </w:p>
        </w:tc>
        <w:tc>
          <w:tcPr>
            <w:tcW w:w="1300" w:type="dxa"/>
            <w:vAlign w:val="center"/>
          </w:tcPr>
          <w:p>
            <w:pPr>
              <w:spacing w:before="20" w:after="20"/>
              <w:jc w:val="right"/>
            </w:pPr>
            <w:r>
              <w:rPr>
                <w:color w:val="0A7B46"/>
              </w:rPr>
              <w:t xml:space="preserve">$0.00</w:t>
            </w:r>
          </w:p>
        </w:tc>
        <w:tc>
          <w:tcPr>
            <w:tcW w:w="1000" w:type="dxa"/>
            <w:vAlign w:val="center"/>
          </w:tcPr>
          <w:p>
            <w:pPr>
              <w:spacing w:before="20" w:after="20"/>
              <w:jc w:val="right"/>
            </w:pPr>
            <w:r>
              <w:t xml:space="preserve">/mo</w:t>
            </w:r>
          </w:p>
        </w:tc>
        <w:tc>
          <w:tcPr>
            <w:tcW w:w="1460" w:type="dxa"/>
            <w:shd w:val="clear" w:color="auto" w:fill="E6F6EE"/>
            <w:vAlign w:val="center"/>
          </w:tcPr>
          <w:p>
            <w:pPr>
              <w:spacing w:before="20" w:after="20"/>
              <w:jc w:val="right"/>
            </w:pPr>
            <w:r>
              <w:rPr>
                <w:b/>
                <w:color w:val="0A7B46"/>
              </w:rPr>
              <w:t xml:space="preserve">$0.00</w:t>
            </w:r>
          </w:p>
        </w:tc>
      </w:tr>
      <w:tr>
        <w:tc>
          <w:tcPr>
            <w:tcW w:w="3400" w:type="dxa"/>
            <w:shd w:val="clear" w:color="auto" w:fill="EAF1FF"/>
            <w:vAlign w:val="center"/>
          </w:tcPr>
          <w:p>
            <w:pPr>
              <w:spacing w:before="20" w:after="20"/>
              <w:jc w:val="left"/>
            </w:pPr>
            <w:r>
              <w:rPr>
                <w:b/>
              </w:rPr>
              <w:t xml:space="preserve">Monitoring</w:t>
            </w:r>
          </w:p>
        </w:tc>
        <w:tc>
          <w:tcPr>
            <w:tcW w:w="150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70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130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100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146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rPr>
                <w:b/>
              </w:rPr>
              <w:t xml:space="preserve">$0.00 /mo</w:t>
            </w:r>
          </w:p>
        </w:tc>
      </w:tr>
      <w:tr>
        <w:tc>
          <w:tcPr>
            <w:tcW w:w="3400" w:type="dxa"/>
            <w:vAlign w:val="center"/>
          </w:tcPr>
          <w:p>
            <w:pPr>
              <w:spacing w:before="20" w:after="20"/>
              <w:jc w:val="left"/>
            </w:pPr>
            <w:r>
              <w:t xml:space="preserve">DigitalOcean Monitoring</w:t>
            </w:r>
          </w:p>
        </w:tc>
        <w:tc>
          <w:tcPr>
            <w:tcW w:w="1500" w:type="dxa"/>
            <w:vAlign w:val="center"/>
          </w:tcPr>
          <w:p>
            <w:pPr>
              <w:spacing w:before="20" w:after="20"/>
              <w:jc w:val="right"/>
            </w:pPr>
            <w:r>
              <w:t xml:space="preserve">DigitalOcean</w:t>
            </w:r>
          </w:p>
        </w:tc>
        <w:tc>
          <w:tcPr>
            <w:tcW w:w="700" w:type="dxa"/>
            <w:vAlign w:val="center"/>
          </w:tcPr>
          <w:p>
            <w:pPr>
              <w:spacing w:before="20" w:after="20"/>
              <w:jc w:val="right"/>
            </w:pPr>
            <w:r>
              <w:t xml:space="preserve">1</w:t>
            </w:r>
          </w:p>
        </w:tc>
        <w:tc>
          <w:tcPr>
            <w:tcW w:w="1300" w:type="dxa"/>
            <w:vAlign w:val="center"/>
          </w:tcPr>
          <w:p>
            <w:pPr>
              <w:spacing w:before="20" w:after="20"/>
              <w:jc w:val="right"/>
            </w:pPr>
            <w:r>
              <w:rPr>
                <w:color w:val="0A7B46"/>
              </w:rPr>
              <w:t xml:space="preserve">$0.00</w:t>
            </w:r>
          </w:p>
        </w:tc>
        <w:tc>
          <w:tcPr>
            <w:tcW w:w="1000" w:type="dxa"/>
            <w:vAlign w:val="center"/>
          </w:tcPr>
          <w:p>
            <w:pPr>
              <w:spacing w:before="20" w:after="20"/>
              <w:jc w:val="right"/>
            </w:pPr>
            <w:r>
              <w:t xml:space="preserve">/mo</w:t>
            </w:r>
          </w:p>
        </w:tc>
        <w:tc>
          <w:tcPr>
            <w:tcW w:w="1460" w:type="dxa"/>
            <w:shd w:val="clear" w:color="auto" w:fill="E6F6EE"/>
            <w:vAlign w:val="center"/>
          </w:tcPr>
          <w:p>
            <w:pPr>
              <w:spacing w:before="20" w:after="20"/>
              <w:jc w:val="right"/>
            </w:pPr>
            <w:r>
              <w:rPr>
                <w:b/>
                <w:color w:val="0A7B46"/>
              </w:rPr>
              <w:t xml:space="preserve">$0.00</w:t>
            </w:r>
          </w:p>
        </w:tc>
      </w:tr>
      <w:tr>
        <w:tc>
          <w:tcPr>
            <w:tcW w:w="3400" w:type="dxa"/>
            <w:shd w:val="clear" w:color="auto" w:fill="EAF1FF"/>
            <w:vAlign w:val="center"/>
          </w:tcPr>
          <w:p>
            <w:pPr>
              <w:spacing w:before="20" w:after="20"/>
              <w:jc w:val="left"/>
            </w:pPr>
            <w:r>
              <w:rPr>
                <w:b/>
              </w:rPr>
              <w:t xml:space="preserve">Security &amp; CDN</w:t>
            </w:r>
          </w:p>
        </w:tc>
        <w:tc>
          <w:tcPr>
            <w:tcW w:w="150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70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130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100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146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rPr>
                <w:b/>
              </w:rPr>
              <w:t xml:space="preserve">$0.00 /mo</w:t>
            </w:r>
          </w:p>
        </w:tc>
      </w:tr>
      <w:tr>
        <w:tc>
          <w:tcPr>
            <w:tcW w:w="3400" w:type="dxa"/>
            <w:vAlign w:val="center"/>
          </w:tcPr>
          <w:p>
            <w:pPr>
              <w:spacing w:before="20" w:after="20"/>
              <w:jc w:val="left"/>
            </w:pPr>
            <w:r>
              <w:t xml:space="preserve">Cloudflare CDN, DNS &amp; WAF — Free plan</w:t>
            </w:r>
          </w:p>
        </w:tc>
        <w:tc>
          <w:tcPr>
            <w:tcW w:w="1500" w:type="dxa"/>
            <w:vAlign w:val="center"/>
          </w:tcPr>
          <w:p>
            <w:pPr>
              <w:spacing w:before="20" w:after="20"/>
              <w:jc w:val="right"/>
            </w:pPr>
            <w:r>
              <w:t xml:space="preserve">Cloudflare</w:t>
            </w:r>
          </w:p>
        </w:tc>
        <w:tc>
          <w:tcPr>
            <w:tcW w:w="700" w:type="dxa"/>
            <w:vAlign w:val="center"/>
          </w:tcPr>
          <w:p>
            <w:pPr>
              <w:spacing w:before="20" w:after="20"/>
              <w:jc w:val="right"/>
            </w:pPr>
            <w:r>
              <w:t xml:space="preserve">1</w:t>
            </w:r>
          </w:p>
        </w:tc>
        <w:tc>
          <w:tcPr>
            <w:tcW w:w="1300" w:type="dxa"/>
            <w:vAlign w:val="center"/>
          </w:tcPr>
          <w:p>
            <w:pPr>
              <w:spacing w:before="20" w:after="20"/>
              <w:jc w:val="right"/>
            </w:pPr>
            <w:r>
              <w:rPr>
                <w:color w:val="0A7B46"/>
              </w:rPr>
              <w:t xml:space="preserve">$0.00</w:t>
            </w:r>
          </w:p>
        </w:tc>
        <w:tc>
          <w:tcPr>
            <w:tcW w:w="1000" w:type="dxa"/>
            <w:vAlign w:val="center"/>
          </w:tcPr>
          <w:p>
            <w:pPr>
              <w:spacing w:before="20" w:after="20"/>
              <w:jc w:val="right"/>
            </w:pPr>
            <w:r>
              <w:t xml:space="preserve">/mo</w:t>
            </w:r>
          </w:p>
        </w:tc>
        <w:tc>
          <w:tcPr>
            <w:tcW w:w="1460" w:type="dxa"/>
            <w:shd w:val="clear" w:color="auto" w:fill="E6F6EE"/>
            <w:vAlign w:val="center"/>
          </w:tcPr>
          <w:p>
            <w:pPr>
              <w:spacing w:before="20" w:after="20"/>
              <w:jc w:val="right"/>
            </w:pPr>
            <w:r>
              <w:rPr>
                <w:b/>
                <w:color w:val="0A7B46"/>
              </w:rPr>
              <w:t xml:space="preserve">$0.00</w:t>
            </w:r>
          </w:p>
        </w:tc>
      </w:tr>
      <w:tr>
        <w:tc>
          <w:tcPr>
            <w:tcW w:w="3400" w:type="dxa"/>
            <w:vAlign w:val="center"/>
          </w:tcPr>
          <w:p>
            <w:pPr>
              <w:spacing w:before="20" w:after="20"/>
              <w:jc w:val="left"/>
            </w:pPr>
            <w:r>
              <w:rPr>
                <w:b/>
              </w:rPr>
              <w:t xml:space="preserve">Monthly recurring</w:t>
            </w:r>
          </w:p>
        </w:tc>
        <w:tc>
          <w:tcPr>
            <w:tcW w:w="1500" w:type="dxa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700" w:type="dxa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1300" w:type="dxa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1000" w:type="dxa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spacing w:before="20" w:after="20"/>
              <w:jc w:val="right"/>
            </w:pPr>
            <w:r>
              <w:rPr>
                <w:b/>
              </w:rPr>
              <w:t xml:space="preserve">$88.80 /mo</w:t>
            </w:r>
          </w:p>
        </w:tc>
      </w:tr>
      <w:tr>
        <w:tc>
          <w:tcPr>
            <w:tcW w:w="3400" w:type="dxa"/>
            <w:vAlign w:val="center"/>
          </w:tcPr>
          <w:p>
            <w:pPr>
              <w:spacing w:before="20" w:after="20"/>
              <w:jc w:val="left"/>
            </w:pPr>
            <w:r>
              <w:rPr>
                <w:b/>
              </w:rPr>
              <w:t xml:space="preserve">Pay yearly</w:t>
            </w:r>
          </w:p>
        </w:tc>
        <w:tc>
          <w:tcPr>
            <w:tcW w:w="1500" w:type="dxa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700" w:type="dxa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1300" w:type="dxa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1000" w:type="dxa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spacing w:before="20" w:after="20"/>
              <w:jc w:val="right"/>
            </w:pPr>
            <w:r>
              <w:rPr>
                <w:b/>
              </w:rPr>
              <w:t xml:space="preserve">$1,065.60 /yr</w:t>
            </w:r>
          </w:p>
        </w:tc>
      </w:tr>
      <w:tr>
        <w:tc>
          <w:tcPr>
            <w:tcW w:w="3400" w:type="dxa"/>
            <w:shd w:val="clear" w:color="auto" w:fill="EAF1FF"/>
            <w:vAlign w:val="center"/>
          </w:tcPr>
          <w:p>
            <w:pPr>
              <w:spacing w:before="20" w:after="20"/>
              <w:jc w:val="left"/>
            </w:pPr>
            <w:r>
              <w:rPr>
                <w:b/>
              </w:rPr>
              <w:t xml:space="preserve">First-year total</w:t>
            </w:r>
          </w:p>
        </w:tc>
        <w:tc>
          <w:tcPr>
            <w:tcW w:w="150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70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130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100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t xml:space="preserve"/>
            </w:r>
          </w:p>
        </w:tc>
        <w:tc>
          <w:tcPr>
            <w:tcW w:w="1460" w:type="dxa"/>
            <w:shd w:val="clear" w:color="auto" w:fill="EAF1FF"/>
            <w:vAlign w:val="center"/>
          </w:tcPr>
          <w:p>
            <w:pPr>
              <w:spacing w:before="20" w:after="20"/>
              <w:jc w:val="right"/>
            </w:pPr>
            <w:r>
              <w:rPr>
                <w:b/>
              </w:rPr>
              <w:t xml:space="preserve">$1,065.60</w:t>
            </w:r>
          </w:p>
        </w:tc>
      </w:tr>
    </w:tbl>
    <w:p>
      <w:pPr>
        <w:spacing w:after="40"/>
      </w:pPr>
    </w:p>
    <w:p>
      <w:pPr>
        <w:spacing w:before="220" w:after="80"/>
      </w:pPr>
      <w:r>
        <w:rPr>
          <w:b/>
          <w:sz w:val="26"/>
        </w:rPr>
        <w:t xml:space="preserve">Notes · Pros &amp; Cons</w:t>
      </w:r>
    </w:p>
    <w:p>
      <w:pPr>
        <w:spacing w:after="80"/>
      </w:pPr>
      <w:r>
        <w:t xml:space="preserve">Pros</w:t>
      </w:r>
    </w:p>
    <w:p>
      <w:pPr>
        <w:spacing w:after="80"/>
      </w:pPr>
      <w:r>
        <w:t xml:space="preserve">• Lowest monthly cost.</w:t>
      </w:r>
    </w:p>
    <w:p>
      <w:pPr>
        <w:spacing w:after="80"/>
      </w:pPr>
      <w:r>
        <w:t xml:space="preserve">• Simple to manage and deploy.</w:t>
      </w:r>
    </w:p>
    <w:p>
      <w:pPr>
        <w:spacing w:after="80"/>
      </w:pPr>
      <w:r>
        <w:t xml:space="preserve">• Cloudflare in front for free SSL, CDN &amp; basic security.</w:t>
      </w:r>
    </w:p>
    <w:p>
      <w:pPr>
        <w:spacing w:after="80"/>
      </w:pPr>
      <w:r>
        <w:t xml:space="preserve">Cons</w:t>
      </w:r>
    </w:p>
    <w:p>
      <w:pPr>
        <w:spacing w:after="80"/>
      </w:pPr>
      <w:r>
        <w:t xml:space="preserve">• Single point of failure — if the droplet goes down, the site is down.</w:t>
      </w:r>
    </w:p>
    <w:p>
      <w:pPr>
        <w:spacing w:after="80"/>
      </w:pPr>
      <w:r>
        <w:t xml:space="preserve">• No horizontal scaling; vertical resize needs brief downtime.</w:t>
      </w:r>
    </w:p>
    <w:sectPr>
      <w:footerReference w:type="default" r:id="rIdFooter"/>
      <w:pgSz w:w="12240" w:h="15840"/>
      <w:pgMar w:top="1080" w:right="1440" w:bottom="1080" w:left="1440" w:header="720" w:footer="480" w:gutter="0"/>
    </w:sectPr>
  </w:body>
</w:document>
</file>

<file path=word/footer1.xml><?xml version="1.0" encoding="utf-8"?>
<w:ftr xmlns:w="http://schemas.openxmlformats.org/wordprocessingml/2006/main" xmlns:r="http://schemas.openxmlformats.org/officeDocument/2006/relationships">
  <w:p>
    <w:pPr>
      <w:jc w:val="center"/>
    </w:pPr>
    <w:r>
      <w:rPr>
        <w:color w:val="888888"/>
        <w:sz w:val="18"/>
      </w:rPr>
      <w:t xml:space="preserve">Design and developed by Fazla Rabby Azim  ·   </w:t>
    </w:r>
    <w:hyperlink r:id="rIdFtLink">
      <w:r>
        <w:rPr>
          <w:color w:val="0069FF"/>
          <w:u w:val="single"/>
          <w:sz w:val="18"/>
        </w:rPr>
        <w:t xml:space="preserve">azimstech.com</w:t>
      </w:r>
    </w:hyperlink>
  </w:p>
</w:ftr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Footer" Type="http://schemas.openxmlformats.org/officeDocument/2006/relationships/footer" Target="footer1.xml"/></Relationships>
</file>

<file path=word/_rels/footer1.xml.rels><?xml version="1.0" encoding="UTF-8" standalone="yes"?><Relationships xmlns="http://schemas.openxmlformats.org/package/2006/relationships"><Relationship Id="rIdFtLink" Type="http://schemas.openxmlformats.org/officeDocument/2006/relationships/hyperlink" Target="https://azimstech.com" TargetMode="External"/></Relationships>
</file>